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450C" w14:textId="0EDD81A7" w:rsidR="005B756F" w:rsidRDefault="005B756F" w:rsidP="00110F9E">
      <w:pPr>
        <w:spacing w:after="240"/>
        <w:rPr>
          <w:rFonts w:ascii="Arial Narrow" w:hAnsi="Arial Narrow"/>
          <w:b/>
          <w:bCs/>
          <w:sz w:val="22"/>
          <w:szCs w:val="22"/>
        </w:rPr>
      </w:pPr>
      <w:r w:rsidRPr="005B756F">
        <w:rPr>
          <w:rFonts w:ascii="Arial Narrow" w:hAnsi="Arial Narrow"/>
          <w:b/>
          <w:bCs/>
          <w:sz w:val="22"/>
          <w:szCs w:val="22"/>
        </w:rPr>
        <w:t>GUIDELINES FOR REASONABLE ACCOMMODATION IN THE WORKPLACE, EDUCATION, AND TRAINING FACILITIES</w:t>
      </w:r>
    </w:p>
    <w:p w14:paraId="121BFC29"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Background on the Legal Rights of Persons with Disabilities</w:t>
      </w:r>
    </w:p>
    <w:p w14:paraId="2591D973" w14:textId="17B75448"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The South African Constitution and various international conventions, such as the United Nations Convention on the Rights of Persons with Disabilities (UNCRPD), recognize the rights of individuals with disabilities. The White Paper on the Rights of Persons with Disabilities (WPRPD) provides a framework for promoting the rights of persons with disabilities.</w:t>
      </w:r>
    </w:p>
    <w:p w14:paraId="674FCA05"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Categories of Impairment</w:t>
      </w:r>
    </w:p>
    <w:p w14:paraId="34067A7E" w14:textId="30FC808B"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The WPRPD identifies five categories of impairment:</w:t>
      </w:r>
    </w:p>
    <w:p w14:paraId="7795F8A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Sensory: hearing, vision, or both</w:t>
      </w:r>
    </w:p>
    <w:p w14:paraId="4F7035EB"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Physical: mobility, dexterity, or coordination</w:t>
      </w:r>
    </w:p>
    <w:p w14:paraId="1ED154E9"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3. Psychosocial: mental health, emotional, or behavioral</w:t>
      </w:r>
    </w:p>
    <w:p w14:paraId="5FB32EA2"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4. Intellectual: cognitive, learning, or developmental</w:t>
      </w:r>
    </w:p>
    <w:p w14:paraId="39BB4DF5" w14:textId="46CE8E22" w:rsidR="005B756F" w:rsidRDefault="005B756F" w:rsidP="00434F91">
      <w:pPr>
        <w:spacing w:after="240"/>
        <w:rPr>
          <w:rFonts w:ascii="Arial Narrow" w:hAnsi="Arial Narrow"/>
          <w:sz w:val="22"/>
          <w:szCs w:val="22"/>
        </w:rPr>
      </w:pPr>
      <w:r w:rsidRPr="005B756F">
        <w:rPr>
          <w:rFonts w:ascii="Arial Narrow" w:hAnsi="Arial Narrow"/>
          <w:sz w:val="22"/>
          <w:szCs w:val="22"/>
        </w:rPr>
        <w:t>5. Neurological: brain function, seizures, or other neurological conditions</w:t>
      </w:r>
    </w:p>
    <w:p w14:paraId="23FB8C4D" w14:textId="77777777" w:rsidR="00434F91" w:rsidRPr="005B756F" w:rsidRDefault="00434F91" w:rsidP="00434F91">
      <w:pPr>
        <w:spacing w:after="240"/>
        <w:rPr>
          <w:rFonts w:ascii="Arial Narrow" w:hAnsi="Arial Narrow"/>
          <w:sz w:val="22"/>
          <w:szCs w:val="22"/>
        </w:rPr>
      </w:pPr>
    </w:p>
    <w:p w14:paraId="61AA7011"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Barriers that Disable Individuals</w:t>
      </w:r>
    </w:p>
    <w:p w14:paraId="4E08F514" w14:textId="103CB03F"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The WPRPD identifies four types of barriers that disable individuals:</w:t>
      </w:r>
    </w:p>
    <w:p w14:paraId="48AEE71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Attitudinal: negative attitudes, stereotypes, or stigma</w:t>
      </w:r>
    </w:p>
    <w:p w14:paraId="78E3591B"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Physical: inaccessible environments, buildings, or transportation</w:t>
      </w:r>
    </w:p>
    <w:p w14:paraId="44DE4A28"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3. Communication: inaccessible information, language, or communication methods</w:t>
      </w:r>
    </w:p>
    <w:p w14:paraId="1ECFC95C"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4. Information: inaccessible information, lack of awareness, or understanding</w:t>
      </w:r>
    </w:p>
    <w:p w14:paraId="246C8652" w14:textId="77777777" w:rsidR="005B756F" w:rsidRPr="005B756F" w:rsidRDefault="005B756F" w:rsidP="00110F9E">
      <w:pPr>
        <w:spacing w:after="240"/>
        <w:rPr>
          <w:rFonts w:ascii="Arial Narrow" w:hAnsi="Arial Narrow"/>
          <w:sz w:val="22"/>
          <w:szCs w:val="22"/>
        </w:rPr>
      </w:pPr>
    </w:p>
    <w:p w14:paraId="7269BE98"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Reasonable Accommodation</w:t>
      </w:r>
    </w:p>
    <w:p w14:paraId="6CEFF10E" w14:textId="74E36D0D"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Reasonable accommodation refers to the modifications or adjustments made to ensure that individuals with disabilities have equal access to opportunities, services, and facilities. Examples of reasonable accommodation include:</w:t>
      </w:r>
    </w:p>
    <w:p w14:paraId="4BFF883E"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Technology: assistive devices, software, or equipment</w:t>
      </w:r>
    </w:p>
    <w:p w14:paraId="251A8A9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Assistive devices: wheelchairs, hearing aids, or other devices</w:t>
      </w:r>
    </w:p>
    <w:p w14:paraId="0642A09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lastRenderedPageBreak/>
        <w:t>3. Adjustments: changes to work schedules, tasks, or environments</w:t>
      </w:r>
    </w:p>
    <w:p w14:paraId="45167D84"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4. Modifications: changes to buildings, facilities, or equipment</w:t>
      </w:r>
    </w:p>
    <w:p w14:paraId="0ADA1C8E" w14:textId="77777777" w:rsidR="005B756F" w:rsidRPr="005B756F" w:rsidRDefault="005B756F" w:rsidP="00110F9E">
      <w:pPr>
        <w:spacing w:after="240"/>
        <w:rPr>
          <w:rFonts w:ascii="Arial Narrow" w:hAnsi="Arial Narrow"/>
          <w:sz w:val="22"/>
          <w:szCs w:val="22"/>
        </w:rPr>
      </w:pPr>
    </w:p>
    <w:p w14:paraId="6C8620C4"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Hearing Loss</w:t>
      </w:r>
    </w:p>
    <w:p w14:paraId="5BD549C5" w14:textId="69BD3DE0"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According to the World Health Organization (WHO), disabling hearing loss refers to hearing loss greater than 40dB in the better hearing ear in adults and greater than 30dB in the better hearing ear in children. Reasonable accommodation for individuals with hearing loss may include:</w:t>
      </w:r>
    </w:p>
    <w:p w14:paraId="207BEDB3"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Amplification: personal hearing aid systems, sound systems, or loop systems</w:t>
      </w:r>
    </w:p>
    <w:p w14:paraId="4D5AAB6B"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Communication support: sign language interpreters, note-takers, or communication assistants</w:t>
      </w:r>
    </w:p>
    <w:p w14:paraId="2A6EF4F9" w14:textId="77777777" w:rsidR="005B756F" w:rsidRDefault="005B756F" w:rsidP="00110F9E">
      <w:pPr>
        <w:spacing w:after="240"/>
        <w:rPr>
          <w:rFonts w:ascii="Arial Narrow" w:hAnsi="Arial Narrow"/>
          <w:sz w:val="22"/>
          <w:szCs w:val="22"/>
        </w:rPr>
      </w:pPr>
      <w:r w:rsidRPr="005B756F">
        <w:rPr>
          <w:rFonts w:ascii="Arial Narrow" w:hAnsi="Arial Narrow"/>
          <w:sz w:val="22"/>
          <w:szCs w:val="22"/>
        </w:rPr>
        <w:t>3. Workplace adjustments: favourable seating, reduced ambient noise, or flexible work arrangements</w:t>
      </w:r>
    </w:p>
    <w:p w14:paraId="7DB8CAC5" w14:textId="77777777" w:rsidR="005B756F" w:rsidRPr="005B756F" w:rsidRDefault="005B756F" w:rsidP="00110F9E">
      <w:pPr>
        <w:spacing w:after="240"/>
        <w:rPr>
          <w:rFonts w:ascii="Arial Narrow" w:hAnsi="Arial Narrow"/>
          <w:sz w:val="22"/>
          <w:szCs w:val="22"/>
        </w:rPr>
      </w:pPr>
    </w:p>
    <w:p w14:paraId="3547F15C"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Visual Loss</w:t>
      </w:r>
    </w:p>
    <w:p w14:paraId="2998C96D" w14:textId="0F1A7CFD"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According to the South African National Government Gazette, a person is considered legally blind if they have acuity of less than 6/60 (or 20/200) in the better-seeing eye or a field of vision less than 20 degrees. Reasonable accommodation for individuals with visual loss may include:</w:t>
      </w:r>
    </w:p>
    <w:p w14:paraId="65742E4A"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Effective lighting: adequate lighting or illumination</w:t>
      </w:r>
    </w:p>
    <w:p w14:paraId="3520C8F7"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Assistive technology: screen readers, Braille displays, or other assistive devices</w:t>
      </w:r>
    </w:p>
    <w:p w14:paraId="45CA7DC7" w14:textId="77777777" w:rsidR="005B756F" w:rsidRPr="00643ED4" w:rsidRDefault="005B756F" w:rsidP="00110F9E">
      <w:pPr>
        <w:spacing w:after="240"/>
        <w:rPr>
          <w:rFonts w:ascii="Arial Narrow" w:hAnsi="Arial Narrow"/>
          <w:sz w:val="22"/>
          <w:szCs w:val="22"/>
          <w:lang w:val="fr-FR"/>
        </w:rPr>
      </w:pPr>
      <w:r w:rsidRPr="00643ED4">
        <w:rPr>
          <w:rFonts w:ascii="Arial Narrow" w:hAnsi="Arial Narrow"/>
          <w:sz w:val="22"/>
          <w:szCs w:val="22"/>
          <w:lang w:val="fr-FR"/>
        </w:rPr>
        <w:t>3. Accessible information: Braille, large print, or digital formats</w:t>
      </w:r>
    </w:p>
    <w:p w14:paraId="0448112A" w14:textId="77777777" w:rsidR="005B756F" w:rsidRPr="00643ED4" w:rsidRDefault="005B756F" w:rsidP="00110F9E">
      <w:pPr>
        <w:spacing w:after="240"/>
        <w:rPr>
          <w:rFonts w:ascii="Arial Narrow" w:hAnsi="Arial Narrow"/>
          <w:sz w:val="22"/>
          <w:szCs w:val="22"/>
          <w:lang w:val="fr-FR"/>
        </w:rPr>
      </w:pPr>
    </w:p>
    <w:p w14:paraId="5BC731E0"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DeafBlindness</w:t>
      </w:r>
    </w:p>
    <w:p w14:paraId="03D1525E"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DeafBlindness is a combination of visual and hearing loss, resulting in unique challenges and needs. There are different categories of DeafBlindness, including:</w:t>
      </w:r>
    </w:p>
    <w:p w14:paraId="10519A85" w14:textId="77777777" w:rsidR="005B756F" w:rsidRPr="005B756F" w:rsidRDefault="005B756F" w:rsidP="00110F9E">
      <w:pPr>
        <w:spacing w:after="240"/>
        <w:rPr>
          <w:rFonts w:ascii="Arial Narrow" w:hAnsi="Arial Narrow"/>
          <w:sz w:val="22"/>
          <w:szCs w:val="22"/>
        </w:rPr>
      </w:pPr>
    </w:p>
    <w:p w14:paraId="25A1A6E7"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Congenital DeafBlindness: born with both visual and hearing impairments</w:t>
      </w:r>
    </w:p>
    <w:p w14:paraId="458CA37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Acquired DeafBlindness: lose sight or hearing later in life</w:t>
      </w:r>
    </w:p>
    <w:p w14:paraId="6B209A45" w14:textId="4992280D" w:rsidR="005B756F" w:rsidRDefault="005B756F" w:rsidP="00A70498">
      <w:pPr>
        <w:spacing w:after="240"/>
        <w:rPr>
          <w:rFonts w:ascii="Arial Narrow" w:hAnsi="Arial Narrow"/>
          <w:sz w:val="22"/>
          <w:szCs w:val="22"/>
        </w:rPr>
      </w:pPr>
      <w:r w:rsidRPr="005B756F">
        <w:rPr>
          <w:rFonts w:ascii="Arial Narrow" w:hAnsi="Arial Narrow"/>
          <w:sz w:val="22"/>
          <w:szCs w:val="22"/>
        </w:rPr>
        <w:t>3. Progressive DeafBlindness: gradual loss of sight or hearing over time</w:t>
      </w:r>
    </w:p>
    <w:p w14:paraId="25C621F8" w14:textId="77777777" w:rsidR="00A70498" w:rsidRPr="005B756F" w:rsidRDefault="00A70498" w:rsidP="00A70498">
      <w:pPr>
        <w:spacing w:after="240"/>
        <w:rPr>
          <w:rFonts w:ascii="Arial Narrow" w:hAnsi="Arial Narrow"/>
          <w:sz w:val="22"/>
          <w:szCs w:val="22"/>
        </w:rPr>
      </w:pPr>
    </w:p>
    <w:p w14:paraId="7951813A" w14:textId="7D08E85C" w:rsidR="005B756F" w:rsidRPr="005B756F" w:rsidRDefault="005B756F" w:rsidP="00434F91">
      <w:pPr>
        <w:spacing w:after="240"/>
        <w:rPr>
          <w:rFonts w:ascii="Arial Narrow" w:hAnsi="Arial Narrow"/>
          <w:sz w:val="22"/>
          <w:szCs w:val="22"/>
        </w:rPr>
      </w:pPr>
      <w:r w:rsidRPr="005B756F">
        <w:rPr>
          <w:rFonts w:ascii="Arial Narrow" w:hAnsi="Arial Narrow"/>
          <w:sz w:val="22"/>
          <w:szCs w:val="22"/>
        </w:rPr>
        <w:t>Reasonable accommodation for DeafBlind individuals may include:</w:t>
      </w:r>
    </w:p>
    <w:p w14:paraId="46D78E33"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1. All requirements for reasonable accommodation of Deaf and Blind individuals</w:t>
      </w:r>
    </w:p>
    <w:p w14:paraId="56770561"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2. Additional assistive devices: Braille display keyboards, Braille Note Takers, or other devices</w:t>
      </w:r>
    </w:p>
    <w:p w14:paraId="2F1645B0"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3. Additional assistive technology: screen readers, magnification software, or other technology</w:t>
      </w:r>
    </w:p>
    <w:p w14:paraId="047C368D"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4. Correct placement: placement in a work environment that suits the individual's abilities</w:t>
      </w:r>
    </w:p>
    <w:p w14:paraId="2C4568E2"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5. Recognition of special needs: communication, mobility, access to information, and services</w:t>
      </w:r>
    </w:p>
    <w:p w14:paraId="7DD57FA3" w14:textId="77777777" w:rsidR="005B756F" w:rsidRPr="005B756F" w:rsidRDefault="005B756F" w:rsidP="00110F9E">
      <w:pPr>
        <w:spacing w:after="240"/>
        <w:rPr>
          <w:rFonts w:ascii="Arial Narrow" w:hAnsi="Arial Narrow"/>
          <w:sz w:val="22"/>
          <w:szCs w:val="22"/>
        </w:rPr>
      </w:pPr>
    </w:p>
    <w:p w14:paraId="028E92BE" w14:textId="77777777" w:rsidR="005B756F" w:rsidRPr="00E40422" w:rsidRDefault="005B756F" w:rsidP="00110F9E">
      <w:pPr>
        <w:spacing w:after="240"/>
        <w:rPr>
          <w:rFonts w:ascii="Arial Narrow" w:hAnsi="Arial Narrow"/>
          <w:i/>
          <w:iCs/>
          <w:sz w:val="22"/>
          <w:szCs w:val="22"/>
        </w:rPr>
      </w:pPr>
      <w:r w:rsidRPr="00E40422">
        <w:rPr>
          <w:rFonts w:ascii="Arial Narrow" w:hAnsi="Arial Narrow"/>
          <w:i/>
          <w:iCs/>
          <w:sz w:val="22"/>
          <w:szCs w:val="22"/>
        </w:rPr>
        <w:t>Conclusion</w:t>
      </w:r>
    </w:p>
    <w:p w14:paraId="32A046AF" w14:textId="77777777" w:rsidR="005B756F" w:rsidRPr="005B756F" w:rsidRDefault="005B756F" w:rsidP="00110F9E">
      <w:pPr>
        <w:spacing w:after="240"/>
        <w:rPr>
          <w:rFonts w:ascii="Arial Narrow" w:hAnsi="Arial Narrow"/>
          <w:sz w:val="22"/>
          <w:szCs w:val="22"/>
        </w:rPr>
      </w:pPr>
      <w:r w:rsidRPr="005B756F">
        <w:rPr>
          <w:rFonts w:ascii="Arial Narrow" w:hAnsi="Arial Narrow"/>
          <w:sz w:val="22"/>
          <w:szCs w:val="22"/>
        </w:rPr>
        <w:t>Reasonable accommodation is essential to ensure that individuals with disabilities, including Deaf, Blind, and DeafBlind individuals, have equal access to opportunities, services, and facilities. Employers, education, and training institutions must provide reasonable accommodation to promote inclusivity and diversity.</w:t>
      </w:r>
    </w:p>
    <w:p w14:paraId="68D172F8" w14:textId="52E04F45" w:rsidR="007050A8" w:rsidRPr="00E001FC" w:rsidRDefault="007050A8" w:rsidP="00110F9E">
      <w:pPr>
        <w:pStyle w:val="NormalWeb"/>
        <w:spacing w:after="240" w:afterAutospacing="0"/>
      </w:pPr>
    </w:p>
    <w:sectPr w:rsidR="007050A8" w:rsidRPr="00E001FC" w:rsidSect="00724AC1">
      <w:headerReference w:type="even" r:id="rId11"/>
      <w:headerReference w:type="default" r:id="rId12"/>
      <w:footerReference w:type="even" r:id="rId13"/>
      <w:footerReference w:type="default" r:id="rId14"/>
      <w:headerReference w:type="first" r:id="rId15"/>
      <w:footerReference w:type="first" r:id="rId16"/>
      <w:pgSz w:w="11906" w:h="16838"/>
      <w:pgMar w:top="874" w:right="720" w:bottom="720" w:left="720" w:header="5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3780" w14:textId="77777777" w:rsidR="00175E4E" w:rsidRDefault="00175E4E" w:rsidP="00385CC8">
      <w:r>
        <w:separator/>
      </w:r>
    </w:p>
  </w:endnote>
  <w:endnote w:type="continuationSeparator" w:id="0">
    <w:p w14:paraId="0D23E4E3" w14:textId="77777777" w:rsidR="00175E4E" w:rsidRDefault="00175E4E" w:rsidP="0038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FBDA" w14:textId="77777777" w:rsidR="00E1075E" w:rsidRDefault="00E1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52435D" w14:paraId="1C66F94A" w14:textId="77777777" w:rsidTr="00724AC1">
      <w:tc>
        <w:tcPr>
          <w:tcW w:w="10456" w:type="dxa"/>
          <w:tcBorders>
            <w:top w:val="nil"/>
            <w:left w:val="nil"/>
            <w:bottom w:val="nil"/>
            <w:right w:val="nil"/>
          </w:tcBorders>
          <w:shd w:val="clear" w:color="auto" w:fill="6A56A5"/>
        </w:tcPr>
        <w:p w14:paraId="041E6074" w14:textId="6931F80A" w:rsidR="0052435D" w:rsidRPr="00724AC1" w:rsidRDefault="0052435D" w:rsidP="0052435D">
          <w:pPr>
            <w:tabs>
              <w:tab w:val="right" w:pos="567"/>
              <w:tab w:val="left" w:pos="709"/>
            </w:tabs>
            <w:jc w:val="center"/>
            <w:rPr>
              <w:b/>
              <w:sz w:val="20"/>
              <w:szCs w:val="20"/>
            </w:rPr>
          </w:pPr>
        </w:p>
      </w:tc>
    </w:tr>
  </w:tbl>
  <w:p w14:paraId="30042EB2" w14:textId="395FF68B" w:rsidR="0052435D" w:rsidRPr="0052435D" w:rsidRDefault="0052435D" w:rsidP="0052435D">
    <w:pPr>
      <w:tabs>
        <w:tab w:val="right" w:pos="567"/>
        <w:tab w:val="left" w:pos="709"/>
      </w:tabs>
      <w:jc w:val="center"/>
      <w:rPr>
        <w:rFonts w:ascii="Calibri" w:hAnsi="Calibri"/>
        <w:bCs/>
        <w:color w:val="747474" w:themeColor="background2" w:themeShade="80"/>
        <w:sz w:val="20"/>
        <w:szCs w:val="20"/>
      </w:rPr>
    </w:pPr>
    <w:r w:rsidRPr="0052435D">
      <w:rPr>
        <w:rFonts w:ascii="Calibri" w:hAnsi="Calibri"/>
        <w:bCs/>
        <w:sz w:val="20"/>
        <w:szCs w:val="20"/>
        <w:lang w:val="en-US"/>
      </w:rPr>
      <w:br/>
    </w:r>
    <w:r w:rsidRPr="0052435D">
      <w:rPr>
        <w:rFonts w:ascii="Calibri" w:hAnsi="Calibri"/>
        <w:b/>
        <w:color w:val="747474" w:themeColor="background2" w:themeShade="80"/>
        <w:sz w:val="20"/>
        <w:szCs w:val="20"/>
      </w:rPr>
      <w:t>Office:</w:t>
    </w:r>
    <w:r w:rsidRPr="0052435D">
      <w:rPr>
        <w:rFonts w:ascii="Calibri" w:hAnsi="Calibri"/>
        <w:bCs/>
        <w:color w:val="747474" w:themeColor="background2" w:themeShade="80"/>
        <w:sz w:val="20"/>
        <w:szCs w:val="20"/>
      </w:rPr>
      <w:t xml:space="preserve"> </w:t>
    </w:r>
    <w:r w:rsidR="00EF34F5">
      <w:rPr>
        <w:rFonts w:ascii="Calibri" w:hAnsi="Calibri"/>
        <w:bCs/>
        <w:color w:val="747474" w:themeColor="background2" w:themeShade="80"/>
        <w:sz w:val="20"/>
        <w:szCs w:val="20"/>
      </w:rPr>
      <w:t xml:space="preserve">023 004 0944 </w:t>
    </w:r>
    <w:r w:rsidR="00EF34F5">
      <w:rPr>
        <w:rFonts w:ascii="Calibri" w:hAnsi="Calibri"/>
        <w:b/>
        <w:color w:val="747474" w:themeColor="background2" w:themeShade="80"/>
        <w:sz w:val="20"/>
        <w:szCs w:val="20"/>
      </w:rPr>
      <w:t xml:space="preserve">WhatsApp:  </w:t>
    </w:r>
    <w:r w:rsidR="00EF34F5">
      <w:rPr>
        <w:rFonts w:ascii="Calibri" w:hAnsi="Calibri"/>
        <w:bCs/>
        <w:color w:val="747474" w:themeColor="background2" w:themeShade="80"/>
        <w:sz w:val="20"/>
        <w:szCs w:val="20"/>
      </w:rPr>
      <w:t>082 688 5344</w:t>
    </w:r>
    <w:r w:rsidR="00EF34F5">
      <w:rPr>
        <w:rFonts w:ascii="Calibri" w:hAnsi="Calibri"/>
        <w:b/>
        <w:color w:val="747474" w:themeColor="background2" w:themeShade="80"/>
        <w:sz w:val="20"/>
        <w:szCs w:val="20"/>
      </w:rPr>
      <w:t xml:space="preserve">  </w:t>
    </w:r>
    <w:r w:rsidRPr="0052435D">
      <w:rPr>
        <w:rFonts w:ascii="Calibri" w:hAnsi="Calibri"/>
        <w:bCs/>
        <w:color w:val="747474" w:themeColor="background2" w:themeShade="80"/>
        <w:sz w:val="20"/>
        <w:szCs w:val="20"/>
      </w:rPr>
      <w:t xml:space="preserve"> </w:t>
    </w:r>
    <w:r w:rsidRPr="0052435D">
      <w:rPr>
        <w:rFonts w:ascii="Calibri" w:hAnsi="Calibri"/>
        <w:b/>
        <w:color w:val="747474" w:themeColor="background2" w:themeShade="80"/>
        <w:sz w:val="20"/>
        <w:szCs w:val="20"/>
      </w:rPr>
      <w:t>E-mail:</w:t>
    </w:r>
    <w:r w:rsidRPr="0052435D">
      <w:rPr>
        <w:rFonts w:ascii="Calibri" w:hAnsi="Calibri"/>
        <w:bCs/>
        <w:color w:val="747474" w:themeColor="background2" w:themeShade="80"/>
        <w:sz w:val="20"/>
        <w:szCs w:val="20"/>
      </w:rPr>
      <w:t xml:space="preserve"> </w:t>
    </w:r>
    <w:r w:rsidR="003E492B">
      <w:rPr>
        <w:rFonts w:ascii="Calibri" w:hAnsi="Calibri"/>
        <w:bCs/>
        <w:color w:val="747474" w:themeColor="background2" w:themeShade="80"/>
        <w:sz w:val="20"/>
        <w:szCs w:val="20"/>
      </w:rPr>
      <w:t>info</w:t>
    </w:r>
    <w:r w:rsidRPr="0052435D">
      <w:rPr>
        <w:rFonts w:ascii="Calibri" w:hAnsi="Calibri"/>
        <w:bCs/>
        <w:color w:val="747474" w:themeColor="background2" w:themeShade="80"/>
        <w:sz w:val="20"/>
        <w:szCs w:val="20"/>
      </w:rPr>
      <w:t xml:space="preserve">@deafblindsa.co.za </w:t>
    </w:r>
    <w:r w:rsidRPr="0052435D">
      <w:rPr>
        <w:rFonts w:ascii="Calibri" w:hAnsi="Calibri"/>
        <w:b/>
        <w:color w:val="747474" w:themeColor="background2" w:themeShade="80"/>
        <w:sz w:val="20"/>
        <w:szCs w:val="20"/>
      </w:rPr>
      <w:t>Web:</w:t>
    </w:r>
    <w:r w:rsidR="0040185D">
      <w:rPr>
        <w:rFonts w:ascii="Calibri" w:hAnsi="Calibri"/>
        <w:b/>
        <w:color w:val="747474" w:themeColor="background2" w:themeShade="80"/>
        <w:sz w:val="20"/>
        <w:szCs w:val="20"/>
      </w:rPr>
      <w:t xml:space="preserve"> </w:t>
    </w:r>
    <w:r w:rsidRPr="0052435D">
      <w:rPr>
        <w:rFonts w:ascii="Calibri" w:hAnsi="Calibri"/>
        <w:bCs/>
        <w:color w:val="747474" w:themeColor="background2" w:themeShade="80"/>
        <w:sz w:val="20"/>
        <w:szCs w:val="20"/>
      </w:rPr>
      <w:t>www.deafblindsa.co.za</w:t>
    </w:r>
  </w:p>
  <w:p w14:paraId="2B802C3F" w14:textId="5F50907A" w:rsidR="0052435D" w:rsidRPr="0052435D" w:rsidRDefault="003E492B" w:rsidP="0052435D">
    <w:pPr>
      <w:tabs>
        <w:tab w:val="right" w:pos="567"/>
        <w:tab w:val="left" w:pos="709"/>
      </w:tabs>
      <w:jc w:val="center"/>
      <w:rPr>
        <w:rFonts w:ascii="Calibri" w:hAnsi="Calibri"/>
        <w:bCs/>
        <w:color w:val="747474" w:themeColor="background2" w:themeShade="80"/>
        <w:sz w:val="20"/>
        <w:szCs w:val="20"/>
      </w:rPr>
    </w:pPr>
    <w:r>
      <w:rPr>
        <w:rFonts w:ascii="Calibri" w:hAnsi="Calibri"/>
        <w:bCs/>
        <w:color w:val="747474" w:themeColor="background2" w:themeShade="80"/>
        <w:sz w:val="20"/>
        <w:szCs w:val="20"/>
      </w:rPr>
      <w:t xml:space="preserve">7 </w:t>
    </w:r>
    <w:r w:rsidR="00B016B8">
      <w:rPr>
        <w:rFonts w:ascii="Calibri" w:hAnsi="Calibri"/>
        <w:bCs/>
        <w:color w:val="747474" w:themeColor="background2" w:themeShade="80"/>
        <w:sz w:val="20"/>
        <w:szCs w:val="20"/>
      </w:rPr>
      <w:t>Baring</w:t>
    </w:r>
    <w:r>
      <w:rPr>
        <w:rFonts w:ascii="Calibri" w:hAnsi="Calibri"/>
        <w:bCs/>
        <w:color w:val="747474" w:themeColor="background2" w:themeShade="80"/>
        <w:sz w:val="20"/>
        <w:szCs w:val="20"/>
      </w:rPr>
      <w:t xml:space="preserve"> Street</w:t>
    </w:r>
    <w:r w:rsidR="0040185D">
      <w:rPr>
        <w:rFonts w:ascii="Calibri" w:hAnsi="Calibri"/>
        <w:bCs/>
        <w:color w:val="747474" w:themeColor="background2" w:themeShade="80"/>
        <w:sz w:val="20"/>
        <w:szCs w:val="20"/>
      </w:rPr>
      <w:t>,</w:t>
    </w:r>
    <w:r w:rsidR="0052435D" w:rsidRPr="0052435D">
      <w:rPr>
        <w:rFonts w:ascii="Calibri" w:hAnsi="Calibri"/>
        <w:bCs/>
        <w:color w:val="747474" w:themeColor="background2" w:themeShade="80"/>
        <w:sz w:val="20"/>
        <w:szCs w:val="20"/>
      </w:rPr>
      <w:t xml:space="preserve"> </w:t>
    </w:r>
    <w:r w:rsidR="00724AC1">
      <w:rPr>
        <w:rFonts w:ascii="Calibri" w:hAnsi="Calibri"/>
        <w:bCs/>
        <w:color w:val="747474" w:themeColor="background2" w:themeShade="80"/>
        <w:sz w:val="20"/>
        <w:szCs w:val="20"/>
      </w:rPr>
      <w:t>Worcester</w:t>
    </w:r>
    <w:r w:rsidR="0052435D" w:rsidRPr="0052435D">
      <w:rPr>
        <w:rFonts w:ascii="Calibri" w:hAnsi="Calibri"/>
        <w:bCs/>
        <w:color w:val="747474" w:themeColor="background2" w:themeShade="80"/>
        <w:sz w:val="20"/>
        <w:szCs w:val="20"/>
      </w:rPr>
      <w:t>, 6850 | Suite 8</w:t>
    </w:r>
    <w:r w:rsidR="00EE65CF">
      <w:rPr>
        <w:rFonts w:ascii="Calibri" w:hAnsi="Calibri"/>
        <w:bCs/>
        <w:color w:val="747474" w:themeColor="background2" w:themeShade="80"/>
        <w:sz w:val="20"/>
        <w:szCs w:val="20"/>
      </w:rPr>
      <w:t>0</w:t>
    </w:r>
    <w:r w:rsidR="0052435D" w:rsidRPr="0052435D">
      <w:rPr>
        <w:rFonts w:ascii="Calibri" w:hAnsi="Calibri"/>
        <w:bCs/>
        <w:color w:val="747474" w:themeColor="background2" w:themeShade="80"/>
        <w:sz w:val="20"/>
        <w:szCs w:val="20"/>
      </w:rPr>
      <w:t>, P</w:t>
    </w:r>
    <w:r w:rsidR="00FE0AC3">
      <w:rPr>
        <w:rFonts w:ascii="Calibri" w:hAnsi="Calibri"/>
        <w:bCs/>
        <w:color w:val="747474" w:themeColor="background2" w:themeShade="80"/>
        <w:sz w:val="20"/>
        <w:szCs w:val="20"/>
      </w:rPr>
      <w:t>rivate</w:t>
    </w:r>
    <w:r w:rsidR="0052435D" w:rsidRPr="0052435D">
      <w:rPr>
        <w:rFonts w:ascii="Calibri" w:hAnsi="Calibri"/>
        <w:bCs/>
        <w:color w:val="747474" w:themeColor="background2" w:themeShade="80"/>
        <w:sz w:val="20"/>
        <w:szCs w:val="20"/>
      </w:rPr>
      <w:t xml:space="preserve"> B</w:t>
    </w:r>
    <w:r w:rsidR="00FE0AC3">
      <w:rPr>
        <w:rFonts w:ascii="Calibri" w:hAnsi="Calibri"/>
        <w:bCs/>
        <w:color w:val="747474" w:themeColor="background2" w:themeShade="80"/>
        <w:sz w:val="20"/>
        <w:szCs w:val="20"/>
      </w:rPr>
      <w:t>ag</w:t>
    </w:r>
    <w:r w:rsidR="0052435D" w:rsidRPr="0052435D">
      <w:rPr>
        <w:rFonts w:ascii="Calibri" w:hAnsi="Calibri"/>
        <w:bCs/>
        <w:color w:val="747474" w:themeColor="background2" w:themeShade="80"/>
        <w:sz w:val="20"/>
        <w:szCs w:val="20"/>
      </w:rPr>
      <w:t xml:space="preserve"> </w:t>
    </w:r>
    <w:r w:rsidR="00FE0AC3">
      <w:rPr>
        <w:rFonts w:ascii="Calibri" w:hAnsi="Calibri"/>
        <w:bCs/>
        <w:color w:val="747474" w:themeColor="background2" w:themeShade="80"/>
        <w:sz w:val="20"/>
        <w:szCs w:val="20"/>
      </w:rPr>
      <w:t>X</w:t>
    </w:r>
    <w:r w:rsidR="0052435D" w:rsidRPr="0052435D">
      <w:rPr>
        <w:rFonts w:ascii="Calibri" w:hAnsi="Calibri"/>
        <w:bCs/>
        <w:color w:val="747474" w:themeColor="background2" w:themeShade="80"/>
        <w:sz w:val="20"/>
        <w:szCs w:val="20"/>
      </w:rPr>
      <w:t>3105</w:t>
    </w:r>
    <w:r w:rsidR="0040185D">
      <w:rPr>
        <w:rFonts w:ascii="Calibri" w:hAnsi="Calibri"/>
        <w:bCs/>
        <w:color w:val="747474" w:themeColor="background2" w:themeShade="80"/>
        <w:sz w:val="20"/>
        <w:szCs w:val="20"/>
      </w:rPr>
      <w:t>,</w:t>
    </w:r>
    <w:r w:rsidR="0052435D" w:rsidRPr="0052435D">
      <w:rPr>
        <w:rFonts w:ascii="Calibri" w:hAnsi="Calibri"/>
        <w:bCs/>
        <w:color w:val="747474" w:themeColor="background2" w:themeShade="80"/>
        <w:sz w:val="20"/>
        <w:szCs w:val="20"/>
      </w:rPr>
      <w:t xml:space="preserve"> </w:t>
    </w:r>
    <w:r w:rsidR="00724AC1">
      <w:rPr>
        <w:rFonts w:ascii="Calibri" w:hAnsi="Calibri"/>
        <w:bCs/>
        <w:color w:val="747474" w:themeColor="background2" w:themeShade="80"/>
        <w:sz w:val="20"/>
        <w:szCs w:val="20"/>
      </w:rPr>
      <w:t>Worcester</w:t>
    </w:r>
    <w:r w:rsidR="0052435D" w:rsidRPr="0052435D">
      <w:rPr>
        <w:rFonts w:ascii="Calibri" w:hAnsi="Calibri"/>
        <w:bCs/>
        <w:color w:val="747474" w:themeColor="background2" w:themeShade="80"/>
        <w:sz w:val="20"/>
        <w:szCs w:val="20"/>
      </w:rPr>
      <w:t>, 6849</w:t>
    </w:r>
  </w:p>
  <w:p w14:paraId="6E315FC6" w14:textId="27BB2E69" w:rsidR="00385CC8" w:rsidRDefault="0052435D" w:rsidP="0052435D">
    <w:pPr>
      <w:tabs>
        <w:tab w:val="right" w:pos="567"/>
        <w:tab w:val="left" w:pos="709"/>
      </w:tabs>
      <w:jc w:val="center"/>
      <w:rPr>
        <w:rFonts w:ascii="Calibri" w:hAnsi="Calibri"/>
        <w:bCs/>
        <w:color w:val="747474" w:themeColor="background2" w:themeShade="80"/>
        <w:sz w:val="20"/>
        <w:szCs w:val="20"/>
        <w:lang w:val="en-US"/>
      </w:rPr>
    </w:pPr>
    <w:r w:rsidRPr="00385CC8">
      <w:rPr>
        <w:rFonts w:ascii="Calibri" w:hAnsi="Calibri"/>
        <w:b/>
        <w:color w:val="747474" w:themeColor="background2" w:themeShade="80"/>
        <w:sz w:val="20"/>
        <w:szCs w:val="20"/>
        <w:lang w:val="en-US"/>
      </w:rPr>
      <w:t>National Chairperson</w:t>
    </w:r>
    <w:r w:rsidRPr="0052435D">
      <w:rPr>
        <w:rFonts w:ascii="Calibri" w:hAnsi="Calibri"/>
        <w:bCs/>
        <w:color w:val="747474" w:themeColor="background2" w:themeShade="80"/>
        <w:sz w:val="20"/>
        <w:szCs w:val="20"/>
        <w:lang w:val="en-US"/>
      </w:rPr>
      <w:t xml:space="preserve"> Tracy Smith | </w:t>
    </w:r>
    <w:r w:rsidRPr="00385CC8">
      <w:rPr>
        <w:rFonts w:ascii="Calibri" w:hAnsi="Calibri"/>
        <w:b/>
        <w:color w:val="747474" w:themeColor="background2" w:themeShade="80"/>
        <w:sz w:val="20"/>
        <w:szCs w:val="20"/>
        <w:lang w:val="en-US"/>
      </w:rPr>
      <w:t>National Director</w:t>
    </w:r>
    <w:r w:rsidRPr="0052435D">
      <w:rPr>
        <w:rFonts w:ascii="Calibri" w:hAnsi="Calibri"/>
        <w:b/>
        <w:color w:val="747474" w:themeColor="background2" w:themeShade="80"/>
        <w:sz w:val="20"/>
        <w:szCs w:val="20"/>
        <w:lang w:val="en-US"/>
      </w:rPr>
      <w:t xml:space="preserve"> </w:t>
    </w:r>
    <w:r w:rsidRPr="00385CC8">
      <w:rPr>
        <w:rFonts w:ascii="Calibri" w:hAnsi="Calibri"/>
        <w:bCs/>
        <w:color w:val="747474" w:themeColor="background2" w:themeShade="80"/>
        <w:sz w:val="20"/>
        <w:szCs w:val="20"/>
        <w:lang w:val="en-US"/>
      </w:rPr>
      <w:t>Rochelle McDonald</w:t>
    </w:r>
  </w:p>
  <w:p w14:paraId="5EA98001" w14:textId="4C4BE6D6" w:rsidR="00FE0AC3" w:rsidRPr="0052435D" w:rsidRDefault="00FE0AC3" w:rsidP="0052435D">
    <w:pPr>
      <w:tabs>
        <w:tab w:val="right" w:pos="567"/>
        <w:tab w:val="left" w:pos="709"/>
      </w:tabs>
      <w:jc w:val="center"/>
      <w:rPr>
        <w:rFonts w:ascii="Calibri" w:hAnsi="Calibri"/>
        <w:bCs/>
        <w:color w:val="747474" w:themeColor="background2" w:themeShade="8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28F6" w14:textId="77777777" w:rsidR="00E1075E" w:rsidRDefault="00E1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E53D" w14:textId="77777777" w:rsidR="00175E4E" w:rsidRDefault="00175E4E" w:rsidP="00385CC8">
      <w:r>
        <w:separator/>
      </w:r>
    </w:p>
  </w:footnote>
  <w:footnote w:type="continuationSeparator" w:id="0">
    <w:p w14:paraId="5174C153" w14:textId="77777777" w:rsidR="00175E4E" w:rsidRDefault="00175E4E" w:rsidP="0038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948D" w14:textId="77777777" w:rsidR="00E1075E" w:rsidRDefault="00E1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2545" w14:textId="77777777" w:rsidR="00CD17A2" w:rsidRDefault="00CD17A2" w:rsidP="007406D7">
    <w:pPr>
      <w:pStyle w:val="Header"/>
      <w:rPr>
        <w:noProof/>
      </w:rPr>
    </w:pPr>
  </w:p>
  <w:p w14:paraId="761B7BAD" w14:textId="342CF904" w:rsidR="00CD17A2" w:rsidRDefault="00797A02" w:rsidP="00797A02">
    <w:pPr>
      <w:pStyle w:val="Header"/>
      <w:jc w:val="center"/>
      <w:rPr>
        <w:noProof/>
      </w:rPr>
    </w:pPr>
    <w:r>
      <w:rPr>
        <w:noProof/>
      </w:rPr>
      <w:drawing>
        <wp:inline distT="0" distB="0" distL="0" distR="0" wp14:anchorId="253A654D" wp14:editId="760D3BF4">
          <wp:extent cx="2844000" cy="802147"/>
          <wp:effectExtent l="0" t="0" r="0" b="0"/>
          <wp:docPr id="1683460212" name="Picture 3"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60212" name="Picture 3" descr="A purpl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0" cy="802147"/>
                  </a:xfrm>
                  <a:prstGeom prst="rect">
                    <a:avLst/>
                  </a:prstGeom>
                  <a:noFill/>
                  <a:ln>
                    <a:noFill/>
                  </a:ln>
                </pic:spPr>
              </pic:pic>
            </a:graphicData>
          </a:graphic>
        </wp:inline>
      </w:drawing>
    </w:r>
  </w:p>
  <w:p w14:paraId="0861E04E" w14:textId="77777777" w:rsidR="00CD17A2" w:rsidRDefault="00CD17A2" w:rsidP="007406D7">
    <w:pPr>
      <w:pStyle w:val="Header"/>
      <w:rPr>
        <w:noProof/>
      </w:rPr>
    </w:pPr>
  </w:p>
  <w:tbl>
    <w:tblPr>
      <w:tblStyle w:val="TableGrid"/>
      <w:tblW w:w="0" w:type="auto"/>
      <w:tblLook w:val="04A0" w:firstRow="1" w:lastRow="0" w:firstColumn="1" w:lastColumn="0" w:noHBand="0" w:noVBand="1"/>
    </w:tblPr>
    <w:tblGrid>
      <w:gridCol w:w="10456"/>
    </w:tblGrid>
    <w:tr w:rsidR="0052435D" w14:paraId="347DB5C0" w14:textId="77777777" w:rsidTr="002F1697">
      <w:tc>
        <w:tcPr>
          <w:tcW w:w="10456" w:type="dxa"/>
          <w:tcBorders>
            <w:top w:val="nil"/>
            <w:left w:val="nil"/>
            <w:bottom w:val="nil"/>
            <w:right w:val="nil"/>
          </w:tcBorders>
          <w:shd w:val="clear" w:color="auto" w:fill="FFCA45"/>
        </w:tcPr>
        <w:p w14:paraId="68A59CD0" w14:textId="465220D4" w:rsidR="0052435D" w:rsidRPr="0052435D" w:rsidRDefault="0052435D" w:rsidP="0052435D">
          <w:pPr>
            <w:tabs>
              <w:tab w:val="right" w:pos="567"/>
              <w:tab w:val="left" w:pos="709"/>
            </w:tabs>
            <w:jc w:val="center"/>
            <w:rPr>
              <w:rFonts w:ascii="Calibri" w:hAnsi="Calibri"/>
              <w:b/>
              <w:sz w:val="20"/>
              <w:szCs w:val="20"/>
            </w:rPr>
          </w:pPr>
          <w:r w:rsidRPr="0052435D">
            <w:rPr>
              <w:rFonts w:ascii="Calibri" w:hAnsi="Calibri"/>
              <w:b/>
              <w:noProof/>
              <w:color w:val="FFCA45"/>
              <w:sz w:val="20"/>
              <w:szCs w:val="20"/>
              <w:lang w:val="en-US"/>
            </w:rPr>
            <w:drawing>
              <wp:inline distT="0" distB="0" distL="0" distR="0" wp14:anchorId="45AF0C4A" wp14:editId="2F3DF945">
                <wp:extent cx="2926292" cy="222250"/>
                <wp:effectExtent l="0" t="0" r="0" b="0"/>
                <wp:docPr id="779347731" name="Picture 1" descr="DBSA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47731" name="Picture 1" descr="DBSA Slogan"/>
                        <pic:cNvPicPr/>
                      </pic:nvPicPr>
                      <pic:blipFill>
                        <a:blip r:embed="rId2"/>
                        <a:stretch>
                          <a:fillRect/>
                        </a:stretch>
                      </pic:blipFill>
                      <pic:spPr>
                        <a:xfrm>
                          <a:off x="0" y="0"/>
                          <a:ext cx="2943063" cy="223524"/>
                        </a:xfrm>
                        <a:prstGeom prst="rect">
                          <a:avLst/>
                        </a:prstGeom>
                      </pic:spPr>
                    </pic:pic>
                  </a:graphicData>
                </a:graphic>
              </wp:inline>
            </w:drawing>
          </w:r>
        </w:p>
      </w:tc>
    </w:tr>
  </w:tbl>
  <w:p w14:paraId="0D9B08DB" w14:textId="77777777" w:rsidR="0052435D" w:rsidRDefault="0052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A299" w14:textId="77777777" w:rsidR="00E1075E" w:rsidRDefault="00E10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A49"/>
    <w:multiLevelType w:val="hybridMultilevel"/>
    <w:tmpl w:val="B274C3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FC56261"/>
    <w:multiLevelType w:val="hybridMultilevel"/>
    <w:tmpl w:val="2B1A07EE"/>
    <w:lvl w:ilvl="0" w:tplc="BE5C70A0">
      <w:start w:val="3"/>
      <w:numFmt w:val="bullet"/>
      <w:lvlText w:val="-"/>
      <w:lvlJc w:val="left"/>
      <w:pPr>
        <w:ind w:left="1095" w:hanging="360"/>
      </w:pPr>
      <w:rPr>
        <w:rFonts w:ascii="Aptos" w:eastAsiaTheme="minorHAnsi" w:hAnsi="Aptos" w:cstheme="minorBid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 w15:restartNumberingAfterBreak="0">
    <w:nsid w:val="389159FE"/>
    <w:multiLevelType w:val="multilevel"/>
    <w:tmpl w:val="55E0F0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C53DAF"/>
    <w:multiLevelType w:val="hybridMultilevel"/>
    <w:tmpl w:val="4FAA8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B922F4"/>
    <w:multiLevelType w:val="hybridMultilevel"/>
    <w:tmpl w:val="2864CCD8"/>
    <w:lvl w:ilvl="0" w:tplc="0B3A1BCE">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1221070">
    <w:abstractNumId w:val="2"/>
  </w:num>
  <w:num w:numId="2" w16cid:durableId="1540050771">
    <w:abstractNumId w:val="1"/>
  </w:num>
  <w:num w:numId="3" w16cid:durableId="666787203">
    <w:abstractNumId w:val="3"/>
  </w:num>
  <w:num w:numId="4" w16cid:durableId="667758171">
    <w:abstractNumId w:val="4"/>
  </w:num>
  <w:num w:numId="5" w16cid:durableId="11603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C8"/>
    <w:rsid w:val="0001036D"/>
    <w:rsid w:val="000366ED"/>
    <w:rsid w:val="00084057"/>
    <w:rsid w:val="0009170B"/>
    <w:rsid w:val="000C02C4"/>
    <w:rsid w:val="00107332"/>
    <w:rsid w:val="0011039D"/>
    <w:rsid w:val="00110F9E"/>
    <w:rsid w:val="00175E4E"/>
    <w:rsid w:val="001D3D1F"/>
    <w:rsid w:val="001E3DAF"/>
    <w:rsid w:val="00225DB2"/>
    <w:rsid w:val="00242351"/>
    <w:rsid w:val="002B56D9"/>
    <w:rsid w:val="002F1697"/>
    <w:rsid w:val="00305679"/>
    <w:rsid w:val="00361387"/>
    <w:rsid w:val="00385CC8"/>
    <w:rsid w:val="003C4B99"/>
    <w:rsid w:val="003E492B"/>
    <w:rsid w:val="003F537D"/>
    <w:rsid w:val="0040185D"/>
    <w:rsid w:val="00434F91"/>
    <w:rsid w:val="004D0C2F"/>
    <w:rsid w:val="004F01FB"/>
    <w:rsid w:val="005204D4"/>
    <w:rsid w:val="00522D7C"/>
    <w:rsid w:val="0052435D"/>
    <w:rsid w:val="005B2FD8"/>
    <w:rsid w:val="005B756F"/>
    <w:rsid w:val="005D45B5"/>
    <w:rsid w:val="0063744E"/>
    <w:rsid w:val="00643ED4"/>
    <w:rsid w:val="006913EC"/>
    <w:rsid w:val="00700A5A"/>
    <w:rsid w:val="00702826"/>
    <w:rsid w:val="007050A8"/>
    <w:rsid w:val="007208B1"/>
    <w:rsid w:val="00724AC1"/>
    <w:rsid w:val="007406D7"/>
    <w:rsid w:val="00765CDE"/>
    <w:rsid w:val="007854A1"/>
    <w:rsid w:val="00797A02"/>
    <w:rsid w:val="007B6AA2"/>
    <w:rsid w:val="007D278D"/>
    <w:rsid w:val="007F3340"/>
    <w:rsid w:val="0086060D"/>
    <w:rsid w:val="00872608"/>
    <w:rsid w:val="008749E5"/>
    <w:rsid w:val="00883CAE"/>
    <w:rsid w:val="00886453"/>
    <w:rsid w:val="00923365"/>
    <w:rsid w:val="00926416"/>
    <w:rsid w:val="0095394F"/>
    <w:rsid w:val="00974AAE"/>
    <w:rsid w:val="00987D89"/>
    <w:rsid w:val="009A6B71"/>
    <w:rsid w:val="009F7ECD"/>
    <w:rsid w:val="00A03048"/>
    <w:rsid w:val="00A03AB7"/>
    <w:rsid w:val="00A10784"/>
    <w:rsid w:val="00A12291"/>
    <w:rsid w:val="00A26F89"/>
    <w:rsid w:val="00A2742A"/>
    <w:rsid w:val="00A70498"/>
    <w:rsid w:val="00A77652"/>
    <w:rsid w:val="00AC1EDD"/>
    <w:rsid w:val="00AD060A"/>
    <w:rsid w:val="00B016B8"/>
    <w:rsid w:val="00BD138B"/>
    <w:rsid w:val="00CD17A2"/>
    <w:rsid w:val="00CD575F"/>
    <w:rsid w:val="00CD70E8"/>
    <w:rsid w:val="00D15971"/>
    <w:rsid w:val="00D67752"/>
    <w:rsid w:val="00D94FE1"/>
    <w:rsid w:val="00D95FE6"/>
    <w:rsid w:val="00DD5329"/>
    <w:rsid w:val="00E001FC"/>
    <w:rsid w:val="00E069F1"/>
    <w:rsid w:val="00E1075E"/>
    <w:rsid w:val="00E246D2"/>
    <w:rsid w:val="00E40422"/>
    <w:rsid w:val="00E40504"/>
    <w:rsid w:val="00E767EE"/>
    <w:rsid w:val="00E87CA9"/>
    <w:rsid w:val="00EE65CF"/>
    <w:rsid w:val="00EF34F5"/>
    <w:rsid w:val="00F26B92"/>
    <w:rsid w:val="00F44E62"/>
    <w:rsid w:val="00F73306"/>
    <w:rsid w:val="00FE0AC3"/>
    <w:rsid w:val="00FF5E0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4E22"/>
  <w15:chartTrackingRefBased/>
  <w15:docId w15:val="{15E42015-1597-1C43-9D35-75B29509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5D"/>
  </w:style>
  <w:style w:type="paragraph" w:styleId="Heading1">
    <w:name w:val="heading 1"/>
    <w:basedOn w:val="Normal"/>
    <w:next w:val="Normal"/>
    <w:link w:val="Heading1Char"/>
    <w:uiPriority w:val="9"/>
    <w:qFormat/>
    <w:rsid w:val="0038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CC8"/>
    <w:rPr>
      <w:rFonts w:eastAsiaTheme="majorEastAsia" w:cstheme="majorBidi"/>
      <w:color w:val="272727" w:themeColor="text1" w:themeTint="D8"/>
    </w:rPr>
  </w:style>
  <w:style w:type="paragraph" w:styleId="Title">
    <w:name w:val="Title"/>
    <w:basedOn w:val="Normal"/>
    <w:next w:val="Normal"/>
    <w:link w:val="TitleChar"/>
    <w:uiPriority w:val="10"/>
    <w:qFormat/>
    <w:rsid w:val="0038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C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C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5CC8"/>
    <w:rPr>
      <w:i/>
      <w:iCs/>
      <w:color w:val="404040" w:themeColor="text1" w:themeTint="BF"/>
    </w:rPr>
  </w:style>
  <w:style w:type="paragraph" w:styleId="ListParagraph">
    <w:name w:val="List Paragraph"/>
    <w:basedOn w:val="Normal"/>
    <w:uiPriority w:val="34"/>
    <w:qFormat/>
    <w:rsid w:val="00385CC8"/>
    <w:pPr>
      <w:ind w:left="720"/>
      <w:contextualSpacing/>
    </w:pPr>
  </w:style>
  <w:style w:type="character" w:styleId="IntenseEmphasis">
    <w:name w:val="Intense Emphasis"/>
    <w:basedOn w:val="DefaultParagraphFont"/>
    <w:uiPriority w:val="21"/>
    <w:qFormat/>
    <w:rsid w:val="00385CC8"/>
    <w:rPr>
      <w:i/>
      <w:iCs/>
      <w:color w:val="0F4761" w:themeColor="accent1" w:themeShade="BF"/>
    </w:rPr>
  </w:style>
  <w:style w:type="paragraph" w:styleId="IntenseQuote">
    <w:name w:val="Intense Quote"/>
    <w:basedOn w:val="Normal"/>
    <w:next w:val="Normal"/>
    <w:link w:val="IntenseQuoteChar"/>
    <w:uiPriority w:val="30"/>
    <w:qFormat/>
    <w:rsid w:val="0038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CC8"/>
    <w:rPr>
      <w:i/>
      <w:iCs/>
      <w:color w:val="0F4761" w:themeColor="accent1" w:themeShade="BF"/>
    </w:rPr>
  </w:style>
  <w:style w:type="character" w:styleId="IntenseReference">
    <w:name w:val="Intense Reference"/>
    <w:basedOn w:val="DefaultParagraphFont"/>
    <w:uiPriority w:val="32"/>
    <w:qFormat/>
    <w:rsid w:val="00385CC8"/>
    <w:rPr>
      <w:b/>
      <w:bCs/>
      <w:smallCaps/>
      <w:color w:val="0F4761" w:themeColor="accent1" w:themeShade="BF"/>
      <w:spacing w:val="5"/>
    </w:rPr>
  </w:style>
  <w:style w:type="paragraph" w:styleId="Header">
    <w:name w:val="header"/>
    <w:basedOn w:val="Normal"/>
    <w:link w:val="HeaderChar"/>
    <w:uiPriority w:val="99"/>
    <w:unhideWhenUsed/>
    <w:rsid w:val="00385CC8"/>
    <w:pPr>
      <w:tabs>
        <w:tab w:val="center" w:pos="4513"/>
        <w:tab w:val="right" w:pos="9026"/>
      </w:tabs>
    </w:pPr>
  </w:style>
  <w:style w:type="character" w:customStyle="1" w:styleId="HeaderChar">
    <w:name w:val="Header Char"/>
    <w:basedOn w:val="DefaultParagraphFont"/>
    <w:link w:val="Header"/>
    <w:uiPriority w:val="99"/>
    <w:rsid w:val="00385CC8"/>
  </w:style>
  <w:style w:type="paragraph" w:styleId="Footer">
    <w:name w:val="footer"/>
    <w:basedOn w:val="Normal"/>
    <w:link w:val="FooterChar"/>
    <w:uiPriority w:val="99"/>
    <w:unhideWhenUsed/>
    <w:rsid w:val="00385CC8"/>
    <w:pPr>
      <w:tabs>
        <w:tab w:val="center" w:pos="4513"/>
        <w:tab w:val="right" w:pos="9026"/>
      </w:tabs>
    </w:pPr>
  </w:style>
  <w:style w:type="character" w:customStyle="1" w:styleId="FooterChar">
    <w:name w:val="Footer Char"/>
    <w:basedOn w:val="DefaultParagraphFont"/>
    <w:link w:val="Footer"/>
    <w:uiPriority w:val="99"/>
    <w:rsid w:val="00385CC8"/>
  </w:style>
  <w:style w:type="character" w:styleId="Hyperlink">
    <w:name w:val="Hyperlink"/>
    <w:basedOn w:val="DefaultParagraphFont"/>
    <w:uiPriority w:val="99"/>
    <w:unhideWhenUsed/>
    <w:rsid w:val="00385CC8"/>
    <w:rPr>
      <w:color w:val="467886" w:themeColor="hyperlink"/>
      <w:u w:val="single"/>
    </w:rPr>
  </w:style>
  <w:style w:type="character" w:styleId="UnresolvedMention">
    <w:name w:val="Unresolved Mention"/>
    <w:basedOn w:val="DefaultParagraphFont"/>
    <w:uiPriority w:val="99"/>
    <w:semiHidden/>
    <w:unhideWhenUsed/>
    <w:rsid w:val="00385CC8"/>
    <w:rPr>
      <w:color w:val="605E5C"/>
      <w:shd w:val="clear" w:color="auto" w:fill="E1DFDD"/>
    </w:rPr>
  </w:style>
  <w:style w:type="table" w:styleId="TableGrid">
    <w:name w:val="Table Grid"/>
    <w:basedOn w:val="TableNormal"/>
    <w:uiPriority w:val="39"/>
    <w:rsid w:val="005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1FC"/>
    <w:pPr>
      <w:spacing w:before="100" w:beforeAutospacing="1" w:after="100" w:afterAutospacing="1"/>
    </w:pPr>
    <w:rPr>
      <w:rFonts w:ascii="Times New Roman" w:eastAsia="Times New Roman" w:hAnsi="Times New Roman"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0042">
      <w:bodyDiv w:val="1"/>
      <w:marLeft w:val="0"/>
      <w:marRight w:val="0"/>
      <w:marTop w:val="0"/>
      <w:marBottom w:val="0"/>
      <w:divBdr>
        <w:top w:val="none" w:sz="0" w:space="0" w:color="auto"/>
        <w:left w:val="none" w:sz="0" w:space="0" w:color="auto"/>
        <w:bottom w:val="none" w:sz="0" w:space="0" w:color="auto"/>
        <w:right w:val="none" w:sz="0" w:space="0" w:color="auto"/>
      </w:divBdr>
    </w:div>
    <w:div w:id="314573644">
      <w:bodyDiv w:val="1"/>
      <w:marLeft w:val="0"/>
      <w:marRight w:val="0"/>
      <w:marTop w:val="0"/>
      <w:marBottom w:val="0"/>
      <w:divBdr>
        <w:top w:val="none" w:sz="0" w:space="0" w:color="auto"/>
        <w:left w:val="none" w:sz="0" w:space="0" w:color="auto"/>
        <w:bottom w:val="none" w:sz="0" w:space="0" w:color="auto"/>
        <w:right w:val="none" w:sz="0" w:space="0" w:color="auto"/>
      </w:divBdr>
    </w:div>
    <w:div w:id="451435303">
      <w:bodyDiv w:val="1"/>
      <w:marLeft w:val="0"/>
      <w:marRight w:val="0"/>
      <w:marTop w:val="0"/>
      <w:marBottom w:val="0"/>
      <w:divBdr>
        <w:top w:val="none" w:sz="0" w:space="0" w:color="auto"/>
        <w:left w:val="none" w:sz="0" w:space="0" w:color="auto"/>
        <w:bottom w:val="none" w:sz="0" w:space="0" w:color="auto"/>
        <w:right w:val="none" w:sz="0" w:space="0" w:color="auto"/>
      </w:divBdr>
    </w:div>
    <w:div w:id="458841283">
      <w:bodyDiv w:val="1"/>
      <w:marLeft w:val="0"/>
      <w:marRight w:val="0"/>
      <w:marTop w:val="0"/>
      <w:marBottom w:val="0"/>
      <w:divBdr>
        <w:top w:val="none" w:sz="0" w:space="0" w:color="auto"/>
        <w:left w:val="none" w:sz="0" w:space="0" w:color="auto"/>
        <w:bottom w:val="none" w:sz="0" w:space="0" w:color="auto"/>
        <w:right w:val="none" w:sz="0" w:space="0" w:color="auto"/>
      </w:divBdr>
    </w:div>
    <w:div w:id="1004750339">
      <w:bodyDiv w:val="1"/>
      <w:marLeft w:val="0"/>
      <w:marRight w:val="0"/>
      <w:marTop w:val="0"/>
      <w:marBottom w:val="0"/>
      <w:divBdr>
        <w:top w:val="none" w:sz="0" w:space="0" w:color="auto"/>
        <w:left w:val="none" w:sz="0" w:space="0" w:color="auto"/>
        <w:bottom w:val="none" w:sz="0" w:space="0" w:color="auto"/>
        <w:right w:val="none" w:sz="0" w:space="0" w:color="auto"/>
      </w:divBdr>
    </w:div>
    <w:div w:id="1137844585">
      <w:bodyDiv w:val="1"/>
      <w:marLeft w:val="0"/>
      <w:marRight w:val="0"/>
      <w:marTop w:val="0"/>
      <w:marBottom w:val="0"/>
      <w:divBdr>
        <w:top w:val="none" w:sz="0" w:space="0" w:color="auto"/>
        <w:left w:val="none" w:sz="0" w:space="0" w:color="auto"/>
        <w:bottom w:val="none" w:sz="0" w:space="0" w:color="auto"/>
        <w:right w:val="none" w:sz="0" w:space="0" w:color="auto"/>
      </w:divBdr>
    </w:div>
    <w:div w:id="1143959748">
      <w:bodyDiv w:val="1"/>
      <w:marLeft w:val="0"/>
      <w:marRight w:val="0"/>
      <w:marTop w:val="0"/>
      <w:marBottom w:val="0"/>
      <w:divBdr>
        <w:top w:val="none" w:sz="0" w:space="0" w:color="auto"/>
        <w:left w:val="none" w:sz="0" w:space="0" w:color="auto"/>
        <w:bottom w:val="none" w:sz="0" w:space="0" w:color="auto"/>
        <w:right w:val="none" w:sz="0" w:space="0" w:color="auto"/>
      </w:divBdr>
    </w:div>
    <w:div w:id="1611401870">
      <w:bodyDiv w:val="1"/>
      <w:marLeft w:val="0"/>
      <w:marRight w:val="0"/>
      <w:marTop w:val="0"/>
      <w:marBottom w:val="0"/>
      <w:divBdr>
        <w:top w:val="none" w:sz="0" w:space="0" w:color="auto"/>
        <w:left w:val="none" w:sz="0" w:space="0" w:color="auto"/>
        <w:bottom w:val="none" w:sz="0" w:space="0" w:color="auto"/>
        <w:right w:val="none" w:sz="0" w:space="0" w:color="auto"/>
      </w:divBdr>
    </w:div>
    <w:div w:id="1659918170">
      <w:bodyDiv w:val="1"/>
      <w:marLeft w:val="0"/>
      <w:marRight w:val="0"/>
      <w:marTop w:val="0"/>
      <w:marBottom w:val="0"/>
      <w:divBdr>
        <w:top w:val="none" w:sz="0" w:space="0" w:color="auto"/>
        <w:left w:val="none" w:sz="0" w:space="0" w:color="auto"/>
        <w:bottom w:val="none" w:sz="0" w:space="0" w:color="auto"/>
        <w:right w:val="none" w:sz="0" w:space="0" w:color="auto"/>
      </w:divBdr>
    </w:div>
    <w:div w:id="1718892571">
      <w:bodyDiv w:val="1"/>
      <w:marLeft w:val="0"/>
      <w:marRight w:val="0"/>
      <w:marTop w:val="0"/>
      <w:marBottom w:val="0"/>
      <w:divBdr>
        <w:top w:val="none" w:sz="0" w:space="0" w:color="auto"/>
        <w:left w:val="none" w:sz="0" w:space="0" w:color="auto"/>
        <w:bottom w:val="none" w:sz="0" w:space="0" w:color="auto"/>
        <w:right w:val="none" w:sz="0" w:space="0" w:color="auto"/>
      </w:divBdr>
    </w:div>
    <w:div w:id="1810201207">
      <w:bodyDiv w:val="1"/>
      <w:marLeft w:val="0"/>
      <w:marRight w:val="0"/>
      <w:marTop w:val="0"/>
      <w:marBottom w:val="0"/>
      <w:divBdr>
        <w:top w:val="none" w:sz="0" w:space="0" w:color="auto"/>
        <w:left w:val="none" w:sz="0" w:space="0" w:color="auto"/>
        <w:bottom w:val="none" w:sz="0" w:space="0" w:color="auto"/>
        <w:right w:val="none" w:sz="0" w:space="0" w:color="auto"/>
      </w:divBdr>
    </w:div>
    <w:div w:id="1898929069">
      <w:bodyDiv w:val="1"/>
      <w:marLeft w:val="0"/>
      <w:marRight w:val="0"/>
      <w:marTop w:val="0"/>
      <w:marBottom w:val="0"/>
      <w:divBdr>
        <w:top w:val="none" w:sz="0" w:space="0" w:color="auto"/>
        <w:left w:val="none" w:sz="0" w:space="0" w:color="auto"/>
        <w:bottom w:val="none" w:sz="0" w:space="0" w:color="auto"/>
        <w:right w:val="none" w:sz="0" w:space="0" w:color="auto"/>
      </w:divBdr>
    </w:div>
    <w:div w:id="1917006866">
      <w:bodyDiv w:val="1"/>
      <w:marLeft w:val="0"/>
      <w:marRight w:val="0"/>
      <w:marTop w:val="0"/>
      <w:marBottom w:val="0"/>
      <w:divBdr>
        <w:top w:val="none" w:sz="0" w:space="0" w:color="auto"/>
        <w:left w:val="none" w:sz="0" w:space="0" w:color="auto"/>
        <w:bottom w:val="none" w:sz="0" w:space="0" w:color="auto"/>
        <w:right w:val="none" w:sz="0" w:space="0" w:color="auto"/>
      </w:divBdr>
    </w:div>
    <w:div w:id="19728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3b98f-58e2-4dab-93ed-e55aadf76fa9">
      <Terms xmlns="http://schemas.microsoft.com/office/infopath/2007/PartnerControls"/>
    </lcf76f155ced4ddcb4097134ff3c332f>
    <TaxCatchAll xmlns="eebe22af-a280-4c66-b35a-a1827ee4b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2B13D4974424582968556379EEF0B" ma:contentTypeVersion="16" ma:contentTypeDescription="Create a new document." ma:contentTypeScope="" ma:versionID="cdf298732c9f1ff282ecdd2caf512cc1">
  <xsd:schema xmlns:xsd="http://www.w3.org/2001/XMLSchema" xmlns:xs="http://www.w3.org/2001/XMLSchema" xmlns:p="http://schemas.microsoft.com/office/2006/metadata/properties" xmlns:ns2="ca03b98f-58e2-4dab-93ed-e55aadf76fa9" xmlns:ns3="eebe22af-a280-4c66-b35a-a1827ee4b7a3" targetNamespace="http://schemas.microsoft.com/office/2006/metadata/properties" ma:root="true" ma:fieldsID="f39828b1911ca6a8abb2d38073fc6827" ns2:_="" ns3:_="">
    <xsd:import namespace="ca03b98f-58e2-4dab-93ed-e55aadf76fa9"/>
    <xsd:import namespace="eebe22af-a280-4c66-b35a-a1827ee4b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3b98f-58e2-4dab-93ed-e55aadf76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ba0e7-77b4-4231-8992-8d5973e1a5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e22af-a280-4c66-b35a-a1827ee4b7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067fb20-e132-4c26-aabb-67837cd840e1}" ma:internalName="TaxCatchAll" ma:showField="CatchAllData" ma:web="eebe22af-a280-4c66-b35a-a1827ee4b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5B8DD-CFD0-1B4E-B636-BC2EA657C8A8}">
  <ds:schemaRefs>
    <ds:schemaRef ds:uri="http://schemas.openxmlformats.org/officeDocument/2006/bibliography"/>
  </ds:schemaRefs>
</ds:datastoreItem>
</file>

<file path=customXml/itemProps2.xml><?xml version="1.0" encoding="utf-8"?>
<ds:datastoreItem xmlns:ds="http://schemas.openxmlformats.org/officeDocument/2006/customXml" ds:itemID="{21CFC165-EE07-419E-B6E1-BF7DE7D35143}">
  <ds:schemaRefs>
    <ds:schemaRef ds:uri="http://schemas.microsoft.com/office/2006/metadata/properties"/>
    <ds:schemaRef ds:uri="http://schemas.microsoft.com/office/infopath/2007/PartnerControls"/>
    <ds:schemaRef ds:uri="ca03b98f-58e2-4dab-93ed-e55aadf76fa9"/>
    <ds:schemaRef ds:uri="eebe22af-a280-4c66-b35a-a1827ee4b7a3"/>
  </ds:schemaRefs>
</ds:datastoreItem>
</file>

<file path=customXml/itemProps3.xml><?xml version="1.0" encoding="utf-8"?>
<ds:datastoreItem xmlns:ds="http://schemas.openxmlformats.org/officeDocument/2006/customXml" ds:itemID="{AC270A63-BB78-466B-95BA-6E8C821E9C94}">
  <ds:schemaRefs>
    <ds:schemaRef ds:uri="http://schemas.microsoft.com/sharepoint/v3/contenttype/forms"/>
  </ds:schemaRefs>
</ds:datastoreItem>
</file>

<file path=customXml/itemProps4.xml><?xml version="1.0" encoding="utf-8"?>
<ds:datastoreItem xmlns:ds="http://schemas.openxmlformats.org/officeDocument/2006/customXml" ds:itemID="{038869B2-98A4-453D-85FA-2407A31C6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3b98f-58e2-4dab-93ed-e55aadf76fa9"/>
    <ds:schemaRef ds:uri="eebe22af-a280-4c66-b35a-a1827ee4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3539</Characters>
  <Application>Microsoft Office Word</Application>
  <DocSecurity>0</DocSecurity>
  <Lines>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Linde</dc:creator>
  <cp:keywords/>
  <dc:description/>
  <cp:lastModifiedBy>Danelle Van Eeden</cp:lastModifiedBy>
  <cp:revision>6</cp:revision>
  <cp:lastPrinted>2025-08-05T11:36:00Z</cp:lastPrinted>
  <dcterms:created xsi:type="dcterms:W3CDTF">2026-04-01T08:43:00Z</dcterms:created>
  <dcterms:modified xsi:type="dcterms:W3CDTF">2026-04-16T10:34:00Z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0x0101009E62B13D4974424582968556379EEF0B</vt:lpwstr>
  </property>
  <property fmtid="{D5CDD505-2E9C-101B-9397-08002B2CF9AE}" pid="3" name="MediaServiceImageTags">
    <vt:lpwstr/>
  </property>
  <property fmtid="{D5CDD505-2E9C-101B-9397-08002B2CF9AE}" pid="4" name="GrammarlyDocumentId">
    <vt:lpwstr>1a9cd35d-bae8-4029-ab25-3fe37dfb9904</vt:lpwstr>
  </property>
</Properties>
</file>